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D858F0">
        <w:rPr>
          <w:rFonts w:ascii="SassoonInfant" w:hAnsi="SassoonInfant"/>
          <w:b/>
          <w:sz w:val="40"/>
          <w:szCs w:val="24"/>
          <w:u w:val="single"/>
        </w:rPr>
        <w:t>Physical Education</w:t>
      </w:r>
      <w:r w:rsidR="00EB13ED">
        <w:rPr>
          <w:rFonts w:ascii="SassoonInfant" w:hAnsi="SassoonInfant"/>
          <w:b/>
          <w:sz w:val="40"/>
          <w:szCs w:val="24"/>
          <w:u w:val="single"/>
        </w:rPr>
        <w:t xml:space="preserve"> (</w:t>
      </w:r>
      <w:r w:rsidR="00D858F0">
        <w:rPr>
          <w:rFonts w:ascii="SassoonInfant" w:hAnsi="SassoonInfant"/>
          <w:b/>
          <w:sz w:val="40"/>
          <w:szCs w:val="24"/>
          <w:u w:val="single"/>
        </w:rPr>
        <w:t>PE</w:t>
      </w:r>
      <w:r w:rsidR="00EB13ED">
        <w:rPr>
          <w:rFonts w:ascii="SassoonInfant" w:hAnsi="SassoonInfant"/>
          <w:b/>
          <w:sz w:val="40"/>
          <w:szCs w:val="24"/>
          <w:u w:val="single"/>
        </w:rPr>
        <w:t>)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BD45A3" w:rsidRDefault="00BD45A3" w:rsidP="00BD45A3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Following unit title pages in class </w:t>
      </w:r>
      <w:r>
        <w:rPr>
          <w:rFonts w:ascii="SassoonInfant" w:hAnsi="SassoonInfant"/>
          <w:sz w:val="24"/>
          <w:szCs w:val="24"/>
        </w:rPr>
        <w:t>PE</w:t>
      </w:r>
      <w:r>
        <w:rPr>
          <w:rFonts w:ascii="SassoonInfant" w:hAnsi="SassoonInfant"/>
          <w:sz w:val="24"/>
          <w:szCs w:val="24"/>
        </w:rPr>
        <w:t xml:space="preserve"> evidence files</w:t>
      </w:r>
      <w:r w:rsidR="00741FCC">
        <w:rPr>
          <w:rFonts w:ascii="SassoonInfant" w:hAnsi="SassoonInfant"/>
          <w:sz w:val="24"/>
          <w:szCs w:val="24"/>
        </w:rPr>
        <w:t xml:space="preserve">, pupils </w:t>
      </w:r>
      <w:r>
        <w:rPr>
          <w:rFonts w:ascii="SassoonInfant" w:hAnsi="SassoonInfant"/>
          <w:sz w:val="24"/>
          <w:szCs w:val="24"/>
        </w:rPr>
        <w:t xml:space="preserve">have an </w:t>
      </w:r>
      <w:r>
        <w:rPr>
          <w:rFonts w:ascii="SassoonInfant" w:hAnsi="SassoonInfant"/>
          <w:sz w:val="24"/>
          <w:szCs w:val="24"/>
        </w:rPr>
        <w:t xml:space="preserve">outcomes target sheet </w:t>
      </w:r>
      <w:r>
        <w:rPr>
          <w:rFonts w:ascii="SassoonInfant" w:hAnsi="SassoonInfant"/>
          <w:sz w:val="24"/>
          <w:szCs w:val="24"/>
        </w:rPr>
        <w:t xml:space="preserve">which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shared with them at the beginning of each lesson.</w:t>
      </w:r>
    </w:p>
    <w:p w:rsidR="00EB13ED" w:rsidRDefault="00EB13ED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</w:t>
      </w:r>
      <w:r w:rsidR="00741FCC">
        <w:rPr>
          <w:rFonts w:ascii="SassoonInfant" w:hAnsi="SassoonInfant"/>
          <w:sz w:val="24"/>
          <w:szCs w:val="24"/>
        </w:rPr>
        <w:t xml:space="preserve">are </w:t>
      </w:r>
      <w:r>
        <w:rPr>
          <w:rFonts w:ascii="SassoonInfant" w:hAnsi="SassoonInfant"/>
          <w:sz w:val="24"/>
          <w:szCs w:val="24"/>
        </w:rPr>
        <w:t>guided to self-assess and peer-assess (</w:t>
      </w:r>
      <w:r w:rsidRPr="00EB13ED">
        <w:rPr>
          <w:rFonts w:ascii="SassoonInfant" w:hAnsi="SassoonInfant"/>
          <w:i/>
          <w:sz w:val="24"/>
          <w:szCs w:val="24"/>
        </w:rPr>
        <w:t>where appropriate</w:t>
      </w:r>
      <w:r>
        <w:rPr>
          <w:rFonts w:ascii="SassoonInfant" w:hAnsi="SassoonInfant"/>
          <w:sz w:val="24"/>
          <w:szCs w:val="24"/>
        </w:rPr>
        <w:t>) against these targets in each lesson so that they are fully informed about their achievements, progress and next steps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EB13ED" w:rsidRDefault="00EB13ED" w:rsidP="00EB13ED">
      <w:pPr>
        <w:pStyle w:val="NoSpacing"/>
        <w:rPr>
          <w:rFonts w:ascii="SassoonInfant" w:hAnsi="SassoonInfant"/>
          <w:sz w:val="24"/>
          <w:szCs w:val="24"/>
        </w:rPr>
      </w:pPr>
    </w:p>
    <w:p w:rsidR="00257E36" w:rsidRDefault="00257E36" w:rsidP="00EB13ED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BD45A3" w:rsidP="00EB13ED">
      <w:pPr>
        <w:pStyle w:val="NoSpacing"/>
        <w:jc w:val="center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14F5942" wp14:editId="5845BB94">
            <wp:extent cx="5267325" cy="40401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068" t="21872" r="19567" b="14877"/>
                    <a:stretch/>
                  </pic:blipFill>
                  <pic:spPr bwMode="auto">
                    <a:xfrm>
                      <a:off x="0" y="0"/>
                      <a:ext cx="5284208" cy="405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EB13ED" w:rsidRDefault="00EB13ED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741FCC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>use a range of Assessment for Learning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BD45A3" w:rsidRPr="00116E32" w:rsidRDefault="00BD45A3" w:rsidP="00BD45A3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assessed formally by Class Teachers at the end of each unit of work</w:t>
      </w:r>
      <w:r>
        <w:rPr>
          <w:rFonts w:ascii="SassoonInfant" w:hAnsi="SassoonInfant"/>
          <w:sz w:val="24"/>
          <w:szCs w:val="24"/>
        </w:rPr>
        <w:t xml:space="preserve"> (once per half term for both indoor and outdoor units of work)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BD45A3" w:rsidRDefault="00BD45A3" w:rsidP="00BD45A3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An assessment spreadsheet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used to minimise unnecessary workload and enable data to be automatically calculated.</w:t>
      </w:r>
    </w:p>
    <w:p w:rsidR="00BD45A3" w:rsidRDefault="00BD45A3" w:rsidP="00BD45A3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BD45A3">
      <w:pPr>
        <w:pStyle w:val="NoSpacing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187B4F6" wp14:editId="3E361822">
            <wp:extent cx="5731510" cy="2204427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963" t="35173" r="10124" b="12217"/>
                    <a:stretch/>
                  </pic:blipFill>
                  <pic:spPr bwMode="auto">
                    <a:xfrm>
                      <a:off x="0" y="0"/>
                      <a:ext cx="5731510" cy="2204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45A3" w:rsidRDefault="00BD45A3" w:rsidP="00BD45A3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BD45A3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can choose whether to update the spreadsheet at the end of each lesson or at the end of the unit of work</w:t>
      </w:r>
    </w:p>
    <w:p w:rsidR="00BD45A3" w:rsidRDefault="00BD45A3" w:rsidP="00BD45A3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spreadsheet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updated using a different colour in each half term to track progress and show when progress against each statement was made</w:t>
      </w:r>
    </w:p>
    <w:p w:rsidR="00BD45A3" w:rsidRDefault="00BD45A3" w:rsidP="00BD45A3">
      <w:pPr>
        <w:pStyle w:val="NoSpacing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2"/>
        <w:gridCol w:w="1262"/>
      </w:tblGrid>
      <w:tr w:rsidR="00BD45A3" w:rsidTr="00BD45A3">
        <w:trPr>
          <w:trHeight w:val="263"/>
          <w:jc w:val="center"/>
        </w:trPr>
        <w:tc>
          <w:tcPr>
            <w:tcW w:w="1262" w:type="dxa"/>
          </w:tcPr>
          <w:p w:rsidR="00BD45A3" w:rsidRPr="00C0701B" w:rsidRDefault="00BD45A3" w:rsidP="00BC59F6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C0701B">
              <w:rPr>
                <w:rFonts w:ascii="SassoonInfant" w:hAnsi="SassoonInfant"/>
                <w:b/>
                <w:sz w:val="24"/>
              </w:rPr>
              <w:t>Aut 1</w:t>
            </w:r>
          </w:p>
        </w:tc>
        <w:tc>
          <w:tcPr>
            <w:tcW w:w="1262" w:type="dxa"/>
            <w:shd w:val="clear" w:color="auto" w:fill="FF0000"/>
          </w:tcPr>
          <w:p w:rsidR="00BD45A3" w:rsidRDefault="00BD45A3" w:rsidP="00BC59F6">
            <w:pPr>
              <w:rPr>
                <w:rFonts w:ascii="SassoonInfant" w:hAnsi="SassoonInfant"/>
                <w:sz w:val="24"/>
              </w:rPr>
            </w:pPr>
          </w:p>
        </w:tc>
      </w:tr>
      <w:tr w:rsidR="00BD45A3" w:rsidTr="00BD45A3">
        <w:trPr>
          <w:trHeight w:val="250"/>
          <w:jc w:val="center"/>
        </w:trPr>
        <w:tc>
          <w:tcPr>
            <w:tcW w:w="1262" w:type="dxa"/>
          </w:tcPr>
          <w:p w:rsidR="00BD45A3" w:rsidRPr="00C0701B" w:rsidRDefault="00BD45A3" w:rsidP="00BC59F6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C0701B">
              <w:rPr>
                <w:rFonts w:ascii="SassoonInfant" w:hAnsi="SassoonInfant"/>
                <w:b/>
                <w:sz w:val="24"/>
              </w:rPr>
              <w:t>Aut 2</w:t>
            </w:r>
          </w:p>
        </w:tc>
        <w:tc>
          <w:tcPr>
            <w:tcW w:w="1262" w:type="dxa"/>
            <w:shd w:val="clear" w:color="auto" w:fill="FFC000"/>
          </w:tcPr>
          <w:p w:rsidR="00BD45A3" w:rsidRDefault="00BD45A3" w:rsidP="00BC59F6">
            <w:pPr>
              <w:rPr>
                <w:rFonts w:ascii="SassoonInfant" w:hAnsi="SassoonInfant"/>
                <w:sz w:val="24"/>
              </w:rPr>
            </w:pPr>
          </w:p>
        </w:tc>
      </w:tr>
      <w:tr w:rsidR="00BD45A3" w:rsidTr="00BD45A3">
        <w:trPr>
          <w:trHeight w:val="263"/>
          <w:jc w:val="center"/>
        </w:trPr>
        <w:tc>
          <w:tcPr>
            <w:tcW w:w="1262" w:type="dxa"/>
          </w:tcPr>
          <w:p w:rsidR="00BD45A3" w:rsidRPr="00C0701B" w:rsidRDefault="00BD45A3" w:rsidP="00BC59F6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C0701B">
              <w:rPr>
                <w:rFonts w:ascii="SassoonInfant" w:hAnsi="SassoonInfant"/>
                <w:b/>
                <w:sz w:val="24"/>
              </w:rPr>
              <w:t>Spr 1</w:t>
            </w:r>
          </w:p>
        </w:tc>
        <w:tc>
          <w:tcPr>
            <w:tcW w:w="1262" w:type="dxa"/>
            <w:shd w:val="clear" w:color="auto" w:fill="FFFF00"/>
          </w:tcPr>
          <w:p w:rsidR="00BD45A3" w:rsidRDefault="00BD45A3" w:rsidP="00BC59F6">
            <w:pPr>
              <w:rPr>
                <w:rFonts w:ascii="SassoonInfant" w:hAnsi="SassoonInfant"/>
                <w:sz w:val="24"/>
              </w:rPr>
            </w:pPr>
          </w:p>
        </w:tc>
      </w:tr>
      <w:tr w:rsidR="00BD45A3" w:rsidTr="00BD45A3">
        <w:trPr>
          <w:trHeight w:val="250"/>
          <w:jc w:val="center"/>
        </w:trPr>
        <w:tc>
          <w:tcPr>
            <w:tcW w:w="1262" w:type="dxa"/>
          </w:tcPr>
          <w:p w:rsidR="00BD45A3" w:rsidRPr="00C0701B" w:rsidRDefault="00BD45A3" w:rsidP="00BC59F6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C0701B">
              <w:rPr>
                <w:rFonts w:ascii="SassoonInfant" w:hAnsi="SassoonInfant"/>
                <w:b/>
                <w:sz w:val="24"/>
              </w:rPr>
              <w:t>Spr 2</w:t>
            </w:r>
          </w:p>
        </w:tc>
        <w:tc>
          <w:tcPr>
            <w:tcW w:w="1262" w:type="dxa"/>
            <w:shd w:val="clear" w:color="auto" w:fill="00FF00"/>
          </w:tcPr>
          <w:p w:rsidR="00BD45A3" w:rsidRDefault="00BD45A3" w:rsidP="00BC59F6">
            <w:pPr>
              <w:rPr>
                <w:rFonts w:ascii="SassoonInfant" w:hAnsi="SassoonInfant"/>
                <w:sz w:val="24"/>
              </w:rPr>
            </w:pPr>
          </w:p>
        </w:tc>
      </w:tr>
      <w:tr w:rsidR="00BD45A3" w:rsidTr="00BD45A3">
        <w:trPr>
          <w:trHeight w:val="263"/>
          <w:jc w:val="center"/>
        </w:trPr>
        <w:tc>
          <w:tcPr>
            <w:tcW w:w="1262" w:type="dxa"/>
          </w:tcPr>
          <w:p w:rsidR="00BD45A3" w:rsidRPr="00C0701B" w:rsidRDefault="00BD45A3" w:rsidP="00BC59F6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C0701B">
              <w:rPr>
                <w:rFonts w:ascii="SassoonInfant" w:hAnsi="SassoonInfant"/>
                <w:b/>
                <w:sz w:val="24"/>
              </w:rPr>
              <w:t>Sum 1</w:t>
            </w:r>
          </w:p>
        </w:tc>
        <w:tc>
          <w:tcPr>
            <w:tcW w:w="1262" w:type="dxa"/>
            <w:shd w:val="clear" w:color="auto" w:fill="00B0F0"/>
          </w:tcPr>
          <w:p w:rsidR="00BD45A3" w:rsidRDefault="00BD45A3" w:rsidP="00BC59F6">
            <w:pPr>
              <w:rPr>
                <w:rFonts w:ascii="SassoonInfant" w:hAnsi="SassoonInfant"/>
                <w:sz w:val="24"/>
              </w:rPr>
            </w:pPr>
          </w:p>
        </w:tc>
      </w:tr>
      <w:tr w:rsidR="00BD45A3" w:rsidTr="00BD45A3">
        <w:trPr>
          <w:trHeight w:val="250"/>
          <w:jc w:val="center"/>
        </w:trPr>
        <w:tc>
          <w:tcPr>
            <w:tcW w:w="1262" w:type="dxa"/>
          </w:tcPr>
          <w:p w:rsidR="00BD45A3" w:rsidRPr="00C0701B" w:rsidRDefault="00BD45A3" w:rsidP="00BC59F6">
            <w:pPr>
              <w:jc w:val="center"/>
              <w:rPr>
                <w:rFonts w:ascii="SassoonInfant" w:hAnsi="SassoonInfant"/>
                <w:b/>
                <w:sz w:val="24"/>
              </w:rPr>
            </w:pPr>
            <w:r w:rsidRPr="00C0701B">
              <w:rPr>
                <w:rFonts w:ascii="SassoonInfant" w:hAnsi="SassoonInfant"/>
                <w:b/>
                <w:sz w:val="24"/>
              </w:rPr>
              <w:t>Sum 2</w:t>
            </w:r>
          </w:p>
        </w:tc>
        <w:tc>
          <w:tcPr>
            <w:tcW w:w="1262" w:type="dxa"/>
            <w:shd w:val="clear" w:color="auto" w:fill="FF00FF"/>
          </w:tcPr>
          <w:p w:rsidR="00BD45A3" w:rsidRDefault="00BD45A3" w:rsidP="00BC59F6">
            <w:pPr>
              <w:rPr>
                <w:rFonts w:ascii="SassoonInfant" w:hAnsi="SassoonInfant"/>
                <w:sz w:val="24"/>
              </w:rPr>
            </w:pPr>
          </w:p>
        </w:tc>
      </w:tr>
    </w:tbl>
    <w:p w:rsidR="00BD45A3" w:rsidRDefault="00BD45A3" w:rsidP="00BD45A3">
      <w:pPr>
        <w:pStyle w:val="NoSpacing"/>
        <w:rPr>
          <w:rFonts w:ascii="SassoonInfant" w:hAnsi="SassoonInfant"/>
          <w:sz w:val="24"/>
          <w:szCs w:val="24"/>
        </w:rPr>
      </w:pPr>
    </w:p>
    <w:p w:rsidR="00BD45A3" w:rsidRDefault="00BD45A3" w:rsidP="00BD45A3">
      <w:pPr>
        <w:pStyle w:val="ListParagraph"/>
        <w:numPr>
          <w:ilvl w:val="0"/>
          <w:numId w:val="7"/>
        </w:numPr>
        <w:rPr>
          <w:rFonts w:ascii="SassoonInfant" w:hAnsi="SassoonInfant"/>
          <w:sz w:val="24"/>
        </w:rPr>
      </w:pPr>
      <w:r>
        <w:rPr>
          <w:rFonts w:ascii="SassoonInfant" w:hAnsi="SassoonInfant"/>
          <w:sz w:val="24"/>
        </w:rPr>
        <w:t>The Assessment Tracker s</w:t>
      </w:r>
      <w:r w:rsidRPr="00BD45A3">
        <w:rPr>
          <w:rFonts w:ascii="SassoonInfant" w:hAnsi="SassoonInfant"/>
          <w:sz w:val="24"/>
        </w:rPr>
        <w:t>p</w:t>
      </w:r>
      <w:r>
        <w:rPr>
          <w:rFonts w:ascii="SassoonInfant" w:hAnsi="SassoonInfant"/>
          <w:sz w:val="24"/>
        </w:rPr>
        <w:t>r</w:t>
      </w:r>
      <w:r w:rsidRPr="00BD45A3">
        <w:rPr>
          <w:rFonts w:ascii="SassoonInfant" w:hAnsi="SassoonInfant"/>
          <w:sz w:val="24"/>
        </w:rPr>
        <w:t>eadsheet includes 4 cells for each pupil for each objective.</w:t>
      </w:r>
      <w:r>
        <w:rPr>
          <w:rFonts w:ascii="SassoonInfant" w:hAnsi="SassoonInfant"/>
          <w:sz w:val="24"/>
        </w:rPr>
        <w:t xml:space="preserve"> These cells indicate whether a pupil is Working Towards ARE, Working at ARE and Working at Greater Depth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961"/>
      </w:tblGrid>
      <w:tr w:rsidR="00BD45A3" w:rsidTr="00BC59F6">
        <w:trPr>
          <w:jc w:val="center"/>
        </w:trPr>
        <w:tc>
          <w:tcPr>
            <w:tcW w:w="2972" w:type="dxa"/>
            <w:shd w:val="clear" w:color="auto" w:fill="FFCCFF"/>
          </w:tcPr>
          <w:p w:rsidR="00BD45A3" w:rsidRPr="00F45789" w:rsidRDefault="00BD45A3" w:rsidP="00BC59F6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  <w:p w:rsidR="00BD45A3" w:rsidRDefault="00BD45A3" w:rsidP="00BC59F6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F45789">
              <w:rPr>
                <w:rFonts w:ascii="SassoonInfant" w:hAnsi="SassoonInfant"/>
                <w:b/>
                <w:sz w:val="28"/>
              </w:rPr>
              <w:t>Working Towards ARE</w:t>
            </w:r>
          </w:p>
          <w:p w:rsidR="00741FCC" w:rsidRPr="00741FCC" w:rsidRDefault="00741FCC" w:rsidP="00BC59F6">
            <w:pPr>
              <w:jc w:val="center"/>
              <w:rPr>
                <w:rFonts w:ascii="SassoonInfant" w:hAnsi="SassoonInfant"/>
                <w:b/>
                <w:sz w:val="12"/>
                <w:szCs w:val="12"/>
              </w:rPr>
            </w:pPr>
          </w:p>
        </w:tc>
        <w:tc>
          <w:tcPr>
            <w:tcW w:w="4961" w:type="dxa"/>
            <w:shd w:val="clear" w:color="auto" w:fill="FFCCFF"/>
          </w:tcPr>
          <w:p w:rsidR="00BD45A3" w:rsidRPr="00257E36" w:rsidRDefault="00BD45A3" w:rsidP="00BC59F6">
            <w:pPr>
              <w:jc w:val="center"/>
              <w:rPr>
                <w:rFonts w:ascii="SassoonInfant" w:hAnsi="SassoonInfant"/>
                <w:sz w:val="12"/>
                <w:szCs w:val="12"/>
              </w:rPr>
            </w:pPr>
          </w:p>
          <w:p w:rsidR="00BD45A3" w:rsidRPr="00F45789" w:rsidRDefault="00BD45A3" w:rsidP="00BC59F6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 w:rsidRPr="00BD45A3">
              <w:rPr>
                <w:rFonts w:ascii="SassoonInfant" w:hAnsi="SassoonInfant"/>
                <w:b/>
                <w:sz w:val="26"/>
                <w:szCs w:val="26"/>
              </w:rPr>
              <w:t>1</w:t>
            </w:r>
            <w:r>
              <w:rPr>
                <w:rFonts w:ascii="SassoonInfant" w:hAnsi="SassoonInfant"/>
                <w:sz w:val="26"/>
                <w:szCs w:val="26"/>
              </w:rPr>
              <w:t xml:space="preserve"> cell highlighted</w:t>
            </w:r>
          </w:p>
          <w:p w:rsidR="00BD45A3" w:rsidRPr="00257E36" w:rsidRDefault="00BD45A3" w:rsidP="00BC59F6">
            <w:pPr>
              <w:jc w:val="center"/>
              <w:rPr>
                <w:rFonts w:ascii="SassoonInfant" w:hAnsi="SassoonInfant"/>
                <w:sz w:val="12"/>
                <w:szCs w:val="12"/>
              </w:rPr>
            </w:pPr>
          </w:p>
        </w:tc>
      </w:tr>
      <w:tr w:rsidR="00BD45A3" w:rsidTr="00BC59F6">
        <w:trPr>
          <w:jc w:val="center"/>
        </w:trPr>
        <w:tc>
          <w:tcPr>
            <w:tcW w:w="2972" w:type="dxa"/>
            <w:shd w:val="clear" w:color="auto" w:fill="FFFF00"/>
          </w:tcPr>
          <w:p w:rsidR="00BD45A3" w:rsidRPr="00F45789" w:rsidRDefault="00BD45A3" w:rsidP="00BC59F6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  <w:p w:rsidR="00BD45A3" w:rsidRDefault="00BD45A3" w:rsidP="00BC59F6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F45789">
              <w:rPr>
                <w:rFonts w:ascii="SassoonInfant" w:hAnsi="SassoonInfant"/>
                <w:b/>
                <w:sz w:val="28"/>
              </w:rPr>
              <w:t>Working at ARE</w:t>
            </w:r>
          </w:p>
          <w:p w:rsidR="00741FCC" w:rsidRPr="00741FCC" w:rsidRDefault="00741FCC" w:rsidP="00BC59F6">
            <w:pPr>
              <w:jc w:val="center"/>
              <w:rPr>
                <w:rFonts w:ascii="SassoonInfant" w:hAnsi="SassoonInfant"/>
                <w:b/>
                <w:sz w:val="12"/>
                <w:szCs w:val="12"/>
              </w:rPr>
            </w:pPr>
          </w:p>
        </w:tc>
        <w:tc>
          <w:tcPr>
            <w:tcW w:w="4961" w:type="dxa"/>
            <w:shd w:val="clear" w:color="auto" w:fill="FFFF00"/>
          </w:tcPr>
          <w:p w:rsidR="00257E36" w:rsidRPr="00257E36" w:rsidRDefault="00257E36" w:rsidP="00257E36">
            <w:pPr>
              <w:jc w:val="center"/>
              <w:rPr>
                <w:rFonts w:ascii="SassoonInfant" w:hAnsi="SassoonInfant"/>
                <w:sz w:val="12"/>
                <w:szCs w:val="12"/>
              </w:rPr>
            </w:pPr>
          </w:p>
          <w:p w:rsidR="00BD45A3" w:rsidRPr="00F45789" w:rsidRDefault="00BD45A3" w:rsidP="00BC59F6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 w:rsidRPr="00BD45A3">
              <w:rPr>
                <w:rFonts w:ascii="SassoonInfant" w:hAnsi="SassoonInfant"/>
                <w:b/>
                <w:sz w:val="26"/>
                <w:szCs w:val="26"/>
              </w:rPr>
              <w:t>2</w:t>
            </w:r>
            <w:r>
              <w:rPr>
                <w:rFonts w:ascii="SassoonInfant" w:hAnsi="SassoonInfant"/>
                <w:sz w:val="26"/>
                <w:szCs w:val="26"/>
              </w:rPr>
              <w:t xml:space="preserve"> cells highlighted</w:t>
            </w:r>
          </w:p>
          <w:p w:rsidR="00BD45A3" w:rsidRPr="00257E36" w:rsidRDefault="00BD45A3" w:rsidP="00BC59F6">
            <w:pPr>
              <w:jc w:val="center"/>
              <w:rPr>
                <w:rFonts w:ascii="SassoonInfant" w:hAnsi="SassoonInfant"/>
                <w:sz w:val="12"/>
                <w:szCs w:val="12"/>
              </w:rPr>
            </w:pPr>
          </w:p>
        </w:tc>
      </w:tr>
      <w:tr w:rsidR="00BD45A3" w:rsidTr="00BC59F6">
        <w:trPr>
          <w:jc w:val="center"/>
        </w:trPr>
        <w:tc>
          <w:tcPr>
            <w:tcW w:w="2972" w:type="dxa"/>
            <w:shd w:val="clear" w:color="auto" w:fill="00FF00"/>
          </w:tcPr>
          <w:p w:rsidR="00BD45A3" w:rsidRPr="00F45789" w:rsidRDefault="00BD45A3" w:rsidP="00BC59F6">
            <w:pPr>
              <w:jc w:val="center"/>
              <w:rPr>
                <w:rFonts w:ascii="SassoonInfant" w:hAnsi="SassoonInfant"/>
                <w:b/>
                <w:sz w:val="20"/>
                <w:szCs w:val="20"/>
              </w:rPr>
            </w:pPr>
          </w:p>
          <w:p w:rsidR="00BD45A3" w:rsidRDefault="00BD45A3" w:rsidP="00BC59F6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Working at Greater Depth</w:t>
            </w:r>
          </w:p>
          <w:p w:rsidR="00BD45A3" w:rsidRDefault="00BD45A3" w:rsidP="00BC59F6">
            <w:pPr>
              <w:jc w:val="center"/>
              <w:rPr>
                <w:rFonts w:ascii="SassoonInfant" w:hAnsi="SassoonInfant"/>
                <w:b/>
                <w:sz w:val="12"/>
                <w:szCs w:val="12"/>
              </w:rPr>
            </w:pPr>
          </w:p>
          <w:p w:rsidR="00741FCC" w:rsidRPr="00257E36" w:rsidRDefault="00741FCC" w:rsidP="00BC59F6">
            <w:pPr>
              <w:jc w:val="center"/>
              <w:rPr>
                <w:rFonts w:ascii="SassoonInfant" w:hAnsi="SassoonInfant"/>
                <w:b/>
                <w:sz w:val="12"/>
                <w:szCs w:val="12"/>
              </w:rPr>
            </w:pPr>
          </w:p>
        </w:tc>
        <w:tc>
          <w:tcPr>
            <w:tcW w:w="4961" w:type="dxa"/>
            <w:shd w:val="clear" w:color="auto" w:fill="00FF00"/>
          </w:tcPr>
          <w:p w:rsidR="00BD45A3" w:rsidRPr="00257E36" w:rsidRDefault="00BD45A3" w:rsidP="00BC59F6">
            <w:pPr>
              <w:jc w:val="center"/>
              <w:rPr>
                <w:rFonts w:ascii="SassoonInfant" w:hAnsi="SassoonInfant"/>
                <w:sz w:val="12"/>
                <w:szCs w:val="12"/>
              </w:rPr>
            </w:pPr>
          </w:p>
          <w:p w:rsidR="00BD45A3" w:rsidRPr="00F45789" w:rsidRDefault="00BD45A3" w:rsidP="00BC59F6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 w:rsidRPr="00BD45A3">
              <w:rPr>
                <w:rFonts w:ascii="SassoonInfant" w:hAnsi="SassoonInfant"/>
                <w:b/>
                <w:sz w:val="26"/>
                <w:szCs w:val="26"/>
              </w:rPr>
              <w:t>3</w:t>
            </w:r>
            <w:r>
              <w:rPr>
                <w:rFonts w:ascii="SassoonInfant" w:hAnsi="SassoonInfant"/>
                <w:sz w:val="26"/>
                <w:szCs w:val="26"/>
              </w:rPr>
              <w:t xml:space="preserve"> cells highlighted</w:t>
            </w:r>
          </w:p>
          <w:p w:rsidR="00BD45A3" w:rsidRDefault="00BD45A3" w:rsidP="00BC59F6">
            <w:pPr>
              <w:jc w:val="center"/>
              <w:rPr>
                <w:rFonts w:ascii="SassoonInfant" w:hAnsi="SassoonInfant"/>
                <w:sz w:val="24"/>
              </w:rPr>
            </w:pPr>
          </w:p>
        </w:tc>
      </w:tr>
      <w:tr w:rsidR="00BD45A3" w:rsidTr="00BD45A3">
        <w:trPr>
          <w:jc w:val="center"/>
        </w:trPr>
        <w:tc>
          <w:tcPr>
            <w:tcW w:w="2972" w:type="dxa"/>
            <w:shd w:val="clear" w:color="auto" w:fill="00B0F0"/>
          </w:tcPr>
          <w:p w:rsidR="00BD45A3" w:rsidRPr="00741FCC" w:rsidRDefault="00BD45A3" w:rsidP="00BD45A3">
            <w:pPr>
              <w:jc w:val="center"/>
              <w:rPr>
                <w:rFonts w:ascii="SassoonInfant" w:hAnsi="SassoonInfant"/>
                <w:b/>
                <w:sz w:val="12"/>
                <w:szCs w:val="12"/>
              </w:rPr>
            </w:pPr>
          </w:p>
          <w:p w:rsidR="00BD45A3" w:rsidRDefault="00BD45A3" w:rsidP="00BD45A3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>Exceptional</w:t>
            </w:r>
          </w:p>
          <w:p w:rsidR="00BD45A3" w:rsidRPr="00BD45A3" w:rsidRDefault="00BD45A3" w:rsidP="00BD45A3">
            <w:pPr>
              <w:jc w:val="center"/>
              <w:rPr>
                <w:rFonts w:ascii="SassoonInfant" w:hAnsi="SassoonInfant"/>
                <w:sz w:val="24"/>
              </w:rPr>
            </w:pPr>
            <w:r w:rsidRPr="00BD45A3">
              <w:rPr>
                <w:rFonts w:ascii="SassoonInfant" w:hAnsi="SassoonInfant"/>
                <w:sz w:val="24"/>
              </w:rPr>
              <w:t>(e.g. representing county in a related event)</w:t>
            </w:r>
          </w:p>
          <w:p w:rsidR="00BD45A3" w:rsidRPr="00741FCC" w:rsidRDefault="00BD45A3" w:rsidP="00BD45A3">
            <w:pPr>
              <w:jc w:val="center"/>
              <w:rPr>
                <w:rFonts w:ascii="SassoonInfant" w:hAnsi="SassoonInfant"/>
                <w:b/>
                <w:sz w:val="12"/>
                <w:szCs w:val="12"/>
              </w:rPr>
            </w:pPr>
          </w:p>
        </w:tc>
        <w:tc>
          <w:tcPr>
            <w:tcW w:w="4961" w:type="dxa"/>
            <w:shd w:val="clear" w:color="auto" w:fill="00B0F0"/>
          </w:tcPr>
          <w:p w:rsidR="00BD45A3" w:rsidRPr="00741FCC" w:rsidRDefault="00BD45A3" w:rsidP="00BD45A3">
            <w:pPr>
              <w:jc w:val="center"/>
              <w:rPr>
                <w:rFonts w:ascii="SassoonInfant" w:hAnsi="SassoonInfant"/>
                <w:sz w:val="12"/>
                <w:szCs w:val="12"/>
              </w:rPr>
            </w:pPr>
          </w:p>
          <w:p w:rsidR="00BD45A3" w:rsidRDefault="00BD45A3" w:rsidP="00BD45A3">
            <w:pPr>
              <w:jc w:val="center"/>
              <w:rPr>
                <w:rFonts w:ascii="SassoonInfant" w:hAnsi="SassoonInfant"/>
                <w:sz w:val="24"/>
              </w:rPr>
            </w:pPr>
          </w:p>
          <w:p w:rsidR="00BD45A3" w:rsidRPr="00F45789" w:rsidRDefault="00BD45A3" w:rsidP="00BD45A3">
            <w:pPr>
              <w:jc w:val="center"/>
              <w:rPr>
                <w:rFonts w:ascii="SassoonInfant" w:hAnsi="SassoonInfant"/>
                <w:sz w:val="26"/>
                <w:szCs w:val="26"/>
              </w:rPr>
            </w:pPr>
            <w:r>
              <w:rPr>
                <w:rFonts w:ascii="SassoonInfant" w:hAnsi="SassoonInfant"/>
                <w:b/>
                <w:sz w:val="26"/>
                <w:szCs w:val="26"/>
              </w:rPr>
              <w:t>4</w:t>
            </w:r>
            <w:r>
              <w:rPr>
                <w:rFonts w:ascii="SassoonInfant" w:hAnsi="SassoonInfant"/>
                <w:sz w:val="26"/>
                <w:szCs w:val="26"/>
              </w:rPr>
              <w:t xml:space="preserve"> cells highlighted</w:t>
            </w:r>
          </w:p>
          <w:p w:rsidR="00BD45A3" w:rsidRDefault="00BD45A3" w:rsidP="00BD45A3">
            <w:pPr>
              <w:jc w:val="center"/>
              <w:rPr>
                <w:rFonts w:ascii="SassoonInfant" w:hAnsi="SassoonInfant"/>
                <w:sz w:val="24"/>
              </w:rPr>
            </w:pPr>
          </w:p>
        </w:tc>
      </w:tr>
    </w:tbl>
    <w:p w:rsidR="00BD45A3" w:rsidRDefault="00BD45A3" w:rsidP="00BD45A3">
      <w:pPr>
        <w:pStyle w:val="NoSpacing"/>
        <w:rPr>
          <w:rFonts w:ascii="SassoonInfant" w:hAnsi="SassoonInfant"/>
          <w:sz w:val="24"/>
          <w:szCs w:val="24"/>
        </w:rPr>
      </w:pPr>
    </w:p>
    <w:p w:rsidR="00BD45A3" w:rsidRPr="00BD45A3" w:rsidRDefault="00BD45A3" w:rsidP="00BD45A3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BD45A3">
        <w:rPr>
          <w:rFonts w:ascii="SassoonInfant" w:hAnsi="SassoonInfant"/>
          <w:b/>
          <w:color w:val="0070C0"/>
          <w:sz w:val="28"/>
          <w:szCs w:val="24"/>
          <w:u w:val="single"/>
        </w:rPr>
        <w:t>Assessing Physical Fitness:</w:t>
      </w:r>
    </w:p>
    <w:p w:rsidR="00EB13ED" w:rsidRDefault="00257E36" w:rsidP="004D7D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>
        <w:rPr>
          <w:rFonts w:ascii="SassoonInfant" w:hAnsi="SassoonInfant" w:cs="Gadugi"/>
          <w:sz w:val="24"/>
          <w:szCs w:val="24"/>
        </w:rPr>
        <w:t>Each term, pupils complete the Bleep Test which assesses their physical fitness levels</w:t>
      </w:r>
    </w:p>
    <w:p w:rsidR="00257E36" w:rsidRDefault="00257E36" w:rsidP="004D7D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>
        <w:rPr>
          <w:rFonts w:ascii="SassoonInfant" w:hAnsi="SassoonInfant" w:cs="Gadugi"/>
          <w:sz w:val="24"/>
          <w:szCs w:val="24"/>
        </w:rPr>
        <w:t>Results from the termly Bleep Test are recorded on an assessment spreadsheet and shared with the PE subject lead and members of SLT</w:t>
      </w:r>
    </w:p>
    <w:p w:rsidR="00257E36" w:rsidRDefault="00257E36" w:rsidP="004D7D9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assoonInfant" w:hAnsi="SassoonInfant" w:cs="Gadugi"/>
          <w:sz w:val="24"/>
          <w:szCs w:val="24"/>
        </w:rPr>
      </w:pPr>
      <w:r>
        <w:rPr>
          <w:rFonts w:ascii="SassoonInfant" w:hAnsi="SassoonInfant" w:cs="Gadugi"/>
          <w:sz w:val="24"/>
          <w:szCs w:val="24"/>
        </w:rPr>
        <w:t>Pupils’ progress in the Bleep Test is monitored on an individual basis</w:t>
      </w:r>
    </w:p>
    <w:p w:rsidR="00EB13ED" w:rsidRDefault="00EB13ED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741FCC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>share completed assessment spreadsheets with the Subject Leader and Curriculum Lead (DHT) at the end of each unit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 xml:space="preserve">reviewed termly by Subject Leads, the Curriculum Lead and SLT and </w:t>
      </w:r>
      <w:r w:rsidR="00741FCC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741FCC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bookmarkStart w:id="0" w:name="_GoBack"/>
      <w:bookmarkEnd w:id="0"/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88" w:rsidRDefault="00292788" w:rsidP="008377AA">
      <w:pPr>
        <w:spacing w:after="0" w:line="240" w:lineRule="auto"/>
      </w:pPr>
      <w:r>
        <w:separator/>
      </w:r>
    </w:p>
  </w:endnote>
  <w:endnote w:type="continuationSeparator" w:id="0">
    <w:p w:rsidR="00292788" w:rsidRDefault="00292788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EC14AE">
          <w:rPr>
            <w:rFonts w:ascii="SassoonInfant" w:hAnsi="SassoonInfant"/>
            <w:noProof/>
            <w:sz w:val="24"/>
            <w:szCs w:val="24"/>
          </w:rPr>
          <w:t>3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88" w:rsidRDefault="00292788" w:rsidP="008377AA">
      <w:pPr>
        <w:spacing w:after="0" w:line="240" w:lineRule="auto"/>
      </w:pPr>
      <w:r>
        <w:separator/>
      </w:r>
    </w:p>
  </w:footnote>
  <w:footnote w:type="continuationSeparator" w:id="0">
    <w:p w:rsidR="00292788" w:rsidRDefault="00292788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5CB6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4426F"/>
    <w:multiLevelType w:val="hybridMultilevel"/>
    <w:tmpl w:val="C54EE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B20FD"/>
    <w:multiLevelType w:val="hybridMultilevel"/>
    <w:tmpl w:val="733C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A38C5"/>
    <w:multiLevelType w:val="hybridMultilevel"/>
    <w:tmpl w:val="222C5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6E32"/>
    <w:rsid w:val="00143CBA"/>
    <w:rsid w:val="00161425"/>
    <w:rsid w:val="00196B8A"/>
    <w:rsid w:val="001B46D6"/>
    <w:rsid w:val="00221291"/>
    <w:rsid w:val="00257E36"/>
    <w:rsid w:val="00292788"/>
    <w:rsid w:val="00292879"/>
    <w:rsid w:val="002B686F"/>
    <w:rsid w:val="00306EC9"/>
    <w:rsid w:val="003706E1"/>
    <w:rsid w:val="004451E7"/>
    <w:rsid w:val="00466864"/>
    <w:rsid w:val="0046705B"/>
    <w:rsid w:val="0048013A"/>
    <w:rsid w:val="005163AA"/>
    <w:rsid w:val="00530165"/>
    <w:rsid w:val="00575D21"/>
    <w:rsid w:val="005B5547"/>
    <w:rsid w:val="005B77EF"/>
    <w:rsid w:val="006232DD"/>
    <w:rsid w:val="00641BDE"/>
    <w:rsid w:val="00645A87"/>
    <w:rsid w:val="00663174"/>
    <w:rsid w:val="006C76DA"/>
    <w:rsid w:val="007315B4"/>
    <w:rsid w:val="00741FCC"/>
    <w:rsid w:val="00743299"/>
    <w:rsid w:val="0075122D"/>
    <w:rsid w:val="007A03EC"/>
    <w:rsid w:val="007B6D40"/>
    <w:rsid w:val="00823F59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77B58"/>
    <w:rsid w:val="00A37A80"/>
    <w:rsid w:val="00AD2569"/>
    <w:rsid w:val="00B12CFB"/>
    <w:rsid w:val="00B22B38"/>
    <w:rsid w:val="00B232A2"/>
    <w:rsid w:val="00B85F17"/>
    <w:rsid w:val="00B874F9"/>
    <w:rsid w:val="00BC5332"/>
    <w:rsid w:val="00BD45A3"/>
    <w:rsid w:val="00C0701B"/>
    <w:rsid w:val="00C34DD1"/>
    <w:rsid w:val="00C50B72"/>
    <w:rsid w:val="00C67E49"/>
    <w:rsid w:val="00C81C85"/>
    <w:rsid w:val="00CC68B5"/>
    <w:rsid w:val="00D159E6"/>
    <w:rsid w:val="00D3774F"/>
    <w:rsid w:val="00D4676B"/>
    <w:rsid w:val="00D858F0"/>
    <w:rsid w:val="00DB358C"/>
    <w:rsid w:val="00DC3A61"/>
    <w:rsid w:val="00DC6B25"/>
    <w:rsid w:val="00DC71B3"/>
    <w:rsid w:val="00E35C00"/>
    <w:rsid w:val="00E45752"/>
    <w:rsid w:val="00E63C77"/>
    <w:rsid w:val="00E81C62"/>
    <w:rsid w:val="00EA6815"/>
    <w:rsid w:val="00EB13ED"/>
    <w:rsid w:val="00EC14AE"/>
    <w:rsid w:val="00F12D17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0043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  <w:style w:type="paragraph" w:styleId="ListParagraph">
    <w:name w:val="List Paragraph"/>
    <w:basedOn w:val="Normal"/>
    <w:uiPriority w:val="34"/>
    <w:qFormat/>
    <w:rsid w:val="00EB1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47</cp:revision>
  <dcterms:created xsi:type="dcterms:W3CDTF">2020-03-29T10:43:00Z</dcterms:created>
  <dcterms:modified xsi:type="dcterms:W3CDTF">2020-03-29T11:06:00Z</dcterms:modified>
</cp:coreProperties>
</file>